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9A357B" w:rsidRPr="00FB2E65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9A357B" w:rsidRPr="00FB2E65" w:rsidTr="001F15F4">
              <w:trPr>
                <w:cantSplit/>
                <w:trHeight w:hRule="exact" w:val="7290"/>
              </w:trPr>
              <w:tc>
                <w:tcPr>
                  <w:tcW w:w="7200" w:type="dxa"/>
                </w:tcPr>
                <w:p w:rsidR="006C6823" w:rsidRPr="00773869" w:rsidRDefault="00773869" w:rsidP="006C6823">
                  <w:pPr>
                    <w:numPr>
                      <w:ilvl w:val="1"/>
                      <w:numId w:val="0"/>
                    </w:numPr>
                    <w:spacing w:before="480" w:after="0" w:line="204" w:lineRule="auto"/>
                    <w:rPr>
                      <w:rFonts w:asciiTheme="majorHAnsi" w:eastAsiaTheme="majorEastAsia" w:hAnsiTheme="majorHAnsi" w:cstheme="majorBidi"/>
                      <w:caps/>
                      <w:color w:val="E03177" w:themeColor="accent1"/>
                      <w:kern w:val="28"/>
                      <w:sz w:val="80"/>
                      <w:szCs w:val="80"/>
                    </w:rPr>
                  </w:pPr>
                  <w:r w:rsidRPr="00773869">
                    <w:rPr>
                      <w:rFonts w:asciiTheme="majorHAnsi" w:eastAsiaTheme="majorEastAsia" w:hAnsiTheme="majorHAnsi" w:cstheme="majorBidi"/>
                      <w:caps/>
                      <w:color w:val="E03177" w:themeColor="accent1"/>
                      <w:kern w:val="28"/>
                      <w:sz w:val="80"/>
                      <w:szCs w:val="80"/>
                    </w:rPr>
                    <w:t>January 12-16</w:t>
                  </w:r>
                </w:p>
                <w:p w:rsidR="006C6823" w:rsidRPr="006C6823" w:rsidRDefault="006C6823" w:rsidP="006C6823">
                  <w:pPr>
                    <w:spacing w:after="0" w:line="204" w:lineRule="auto"/>
                    <w:rPr>
                      <w:rFonts w:asciiTheme="majorHAnsi" w:eastAsiaTheme="majorEastAsia" w:hAnsiTheme="majorHAnsi" w:cstheme="majorBidi"/>
                      <w:caps/>
                      <w:kern w:val="28"/>
                      <w:sz w:val="48"/>
                      <w:szCs w:val="48"/>
                    </w:rPr>
                  </w:pPr>
                  <w:r w:rsidRPr="006C6823">
                    <w:rPr>
                      <w:rFonts w:asciiTheme="majorHAnsi" w:eastAsiaTheme="majorEastAsia" w:hAnsiTheme="majorHAnsi" w:cstheme="majorBidi"/>
                      <w:caps/>
                      <w:kern w:val="28"/>
                      <w:sz w:val="48"/>
                      <w:szCs w:val="48"/>
                    </w:rPr>
                    <w:t>Miss Boggs’ 4</w:t>
                  </w:r>
                  <w:r w:rsidRPr="006C6823">
                    <w:rPr>
                      <w:rFonts w:asciiTheme="majorHAnsi" w:eastAsiaTheme="majorEastAsia" w:hAnsiTheme="majorHAnsi" w:cstheme="majorBidi"/>
                      <w:caps/>
                      <w:kern w:val="28"/>
                      <w:sz w:val="48"/>
                      <w:szCs w:val="48"/>
                      <w:vertAlign w:val="superscript"/>
                    </w:rPr>
                    <w:t>th</w:t>
                  </w:r>
                  <w:r w:rsidRPr="006C6823">
                    <w:rPr>
                      <w:rFonts w:asciiTheme="majorHAnsi" w:eastAsiaTheme="majorEastAsia" w:hAnsiTheme="majorHAnsi" w:cstheme="majorBidi"/>
                      <w:caps/>
                      <w:kern w:val="28"/>
                      <w:sz w:val="48"/>
                      <w:szCs w:val="48"/>
                    </w:rPr>
                    <w:t xml:space="preserve"> Grade</w:t>
                  </w:r>
                </w:p>
                <w:p w:rsidR="006C6823" w:rsidRPr="00FB2E65" w:rsidRDefault="006C6823" w:rsidP="006C6823">
                  <w:pPr>
                    <w:spacing w:after="0" w:line="240" w:lineRule="auto"/>
                    <w:jc w:val="center"/>
                    <w:rPr>
                      <w:rFonts w:eastAsia="Calibri" w:cs="Helvetica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en-US"/>
                    </w:rPr>
                  </w:pPr>
                </w:p>
                <w:p w:rsidR="006C6823" w:rsidRPr="006C6823" w:rsidRDefault="006C6823" w:rsidP="006C6823">
                  <w:pPr>
                    <w:spacing w:after="0" w:line="240" w:lineRule="auto"/>
                    <w:jc w:val="center"/>
                    <w:rPr>
                      <w:rFonts w:eastAsia="Calibri" w:cs="Helvetica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en-US"/>
                    </w:rPr>
                  </w:pPr>
                  <w:r w:rsidRPr="006C6823">
                    <w:rPr>
                      <w:rFonts w:eastAsia="Calibri" w:cs="Helvetica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en-US"/>
                    </w:rPr>
                    <w:t>Wright Elementary Mission Statement</w:t>
                  </w:r>
                </w:p>
                <w:p w:rsidR="006C6823" w:rsidRPr="006C6823" w:rsidRDefault="006C6823" w:rsidP="006C6823">
                  <w:pPr>
                    <w:spacing w:after="0" w:line="240" w:lineRule="auto"/>
                    <w:jc w:val="center"/>
                    <w:rPr>
                      <w:rFonts w:eastAsia="Calibri" w:cs="Helvetica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:rsidR="006C6823" w:rsidRPr="00FB2E65" w:rsidRDefault="006C6823" w:rsidP="006C6823">
                  <w:pPr>
                    <w:spacing w:after="0" w:line="240" w:lineRule="auto"/>
                    <w:jc w:val="center"/>
                    <w:rPr>
                      <w:rFonts w:eastAsia="Calibri" w:cs="Helvetica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C6823">
                    <w:rPr>
                      <w:rFonts w:eastAsia="Calibri" w:cs="Helvetica"/>
                      <w:color w:val="000000"/>
                      <w:sz w:val="18"/>
                      <w:szCs w:val="18"/>
                      <w:lang w:eastAsia="en-US"/>
                    </w:rPr>
                    <w:t>Wright Elementary School emphasizes the dedication of home, students, school, and community to provide a quality education in a safe learning environment.</w:t>
                  </w:r>
                </w:p>
                <w:p w:rsidR="006C6823" w:rsidRPr="00FB2E65" w:rsidRDefault="006C6823" w:rsidP="006C6823">
                  <w:pPr>
                    <w:spacing w:after="0" w:line="240" w:lineRule="auto"/>
                    <w:jc w:val="center"/>
                    <w:rPr>
                      <w:rFonts w:eastAsia="Calibri" w:cs="Helvetica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:rsidR="006C6823" w:rsidRPr="006C6823" w:rsidRDefault="006C6823" w:rsidP="006C6823">
                  <w:pPr>
                    <w:spacing w:after="0" w:line="240" w:lineRule="auto"/>
                    <w:jc w:val="center"/>
                    <w:rPr>
                      <w:rFonts w:eastAsia="Calibri" w:cs="Helvetica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C6823">
                    <w:rPr>
                      <w:rFonts w:eastAsia="Calibri" w:cs="Helvetica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en-US"/>
                    </w:rPr>
                    <w:t>Philosophy of Wright Elementary School</w:t>
                  </w:r>
                </w:p>
                <w:p w:rsidR="006C6823" w:rsidRPr="006C6823" w:rsidRDefault="006C6823" w:rsidP="006C6823">
                  <w:pPr>
                    <w:spacing w:after="0" w:line="240" w:lineRule="auto"/>
                    <w:jc w:val="center"/>
                    <w:rPr>
                      <w:rFonts w:eastAsia="Calibri" w:cs="Helvetica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:rsidR="006C6823" w:rsidRPr="006C6823" w:rsidRDefault="006C6823" w:rsidP="006C6823">
                  <w:pPr>
                    <w:spacing w:after="0" w:line="240" w:lineRule="auto"/>
                    <w:rPr>
                      <w:rFonts w:eastAsia="Calibri" w:cs="Helvetica"/>
                      <w:color w:val="000000"/>
                      <w:sz w:val="17"/>
                      <w:szCs w:val="17"/>
                      <w:lang w:eastAsia="en-US"/>
                    </w:rPr>
                  </w:pPr>
                  <w:r w:rsidRPr="006C6823">
                    <w:rPr>
                      <w:rFonts w:eastAsia="Calibri" w:cs="Helvetica"/>
                      <w:color w:val="000000"/>
                      <w:sz w:val="17"/>
                      <w:szCs w:val="17"/>
                      <w:lang w:eastAsia="en-US"/>
                    </w:rPr>
                    <w:t>We believe …</w:t>
                  </w:r>
                </w:p>
                <w:p w:rsidR="006C6823" w:rsidRPr="006C6823" w:rsidRDefault="006C6823" w:rsidP="006C6823">
                  <w:pPr>
                    <w:spacing w:after="0" w:line="240" w:lineRule="auto"/>
                    <w:rPr>
                      <w:rFonts w:eastAsia="Calibri" w:cs="Helvetica"/>
                      <w:color w:val="000000"/>
                      <w:sz w:val="17"/>
                      <w:szCs w:val="17"/>
                      <w:lang w:eastAsia="en-US"/>
                    </w:rPr>
                  </w:pPr>
                  <w:r w:rsidRPr="006C6823">
                    <w:rPr>
                      <w:rFonts w:eastAsia="Calibri" w:cs="Helvetica"/>
                      <w:color w:val="000000"/>
                      <w:sz w:val="17"/>
                      <w:szCs w:val="17"/>
                      <w:lang w:eastAsia="en-US"/>
                    </w:rPr>
                    <w:t> </w:t>
                  </w:r>
                </w:p>
                <w:p w:rsidR="006C6823" w:rsidRPr="006C6823" w:rsidRDefault="006C6823" w:rsidP="006C6823">
                  <w:pPr>
                    <w:numPr>
                      <w:ilvl w:val="0"/>
                      <w:numId w:val="1"/>
                    </w:numPr>
                    <w:spacing w:after="100" w:afterAutospacing="1" w:line="240" w:lineRule="auto"/>
                    <w:rPr>
                      <w:rFonts w:eastAsia="Times New Roman" w:cs="Helvetica"/>
                      <w:color w:val="000000"/>
                      <w:sz w:val="17"/>
                      <w:szCs w:val="17"/>
                      <w:lang w:eastAsia="en-US"/>
                    </w:rPr>
                  </w:pPr>
                  <w:r w:rsidRPr="006C6823">
                    <w:rPr>
                      <w:rFonts w:eastAsia="Times New Roman" w:cs="Helvetica"/>
                      <w:color w:val="000000"/>
                      <w:sz w:val="17"/>
                      <w:szCs w:val="17"/>
                      <w:lang w:eastAsia="en-US"/>
                    </w:rPr>
                    <w:t>Student achievement, emotional well-being, and social development are our top priorities.</w:t>
                  </w:r>
                </w:p>
                <w:p w:rsidR="006C6823" w:rsidRPr="006C6823" w:rsidRDefault="006C6823" w:rsidP="006C6823">
                  <w:pPr>
                    <w:numPr>
                      <w:ilvl w:val="0"/>
                      <w:numId w:val="1"/>
                    </w:numPr>
                    <w:spacing w:after="100" w:afterAutospacing="1" w:line="240" w:lineRule="auto"/>
                    <w:rPr>
                      <w:rFonts w:eastAsia="Times New Roman" w:cs="Helvetica"/>
                      <w:color w:val="000000"/>
                      <w:sz w:val="17"/>
                      <w:szCs w:val="17"/>
                      <w:lang w:eastAsia="en-US"/>
                    </w:rPr>
                  </w:pPr>
                  <w:r w:rsidRPr="006C6823">
                    <w:rPr>
                      <w:rFonts w:eastAsia="Times New Roman" w:cs="Helvetica"/>
                      <w:color w:val="000000"/>
                      <w:sz w:val="17"/>
                      <w:szCs w:val="17"/>
                      <w:lang w:eastAsia="en-US"/>
                    </w:rPr>
                    <w:t>Excellence in education is a partnership bridging students, home, school, and community.</w:t>
                  </w:r>
                </w:p>
                <w:p w:rsidR="006C6823" w:rsidRPr="006C6823" w:rsidRDefault="006C6823" w:rsidP="006C6823">
                  <w:pPr>
                    <w:numPr>
                      <w:ilvl w:val="0"/>
                      <w:numId w:val="1"/>
                    </w:numPr>
                    <w:spacing w:after="100" w:afterAutospacing="1" w:line="240" w:lineRule="auto"/>
                    <w:rPr>
                      <w:rFonts w:eastAsia="Times New Roman" w:cs="Helvetica"/>
                      <w:color w:val="000000"/>
                      <w:sz w:val="17"/>
                      <w:szCs w:val="17"/>
                      <w:lang w:eastAsia="en-US"/>
                    </w:rPr>
                  </w:pPr>
                  <w:r w:rsidRPr="006C6823">
                    <w:rPr>
                      <w:rFonts w:eastAsia="Times New Roman" w:cs="Helvetica"/>
                      <w:color w:val="000000"/>
                      <w:sz w:val="17"/>
                      <w:szCs w:val="17"/>
                      <w:lang w:eastAsia="en-US"/>
                    </w:rPr>
                    <w:t>Instruction must be current, engaging, challenging, and equally accessible to all students.</w:t>
                  </w:r>
                </w:p>
                <w:p w:rsidR="006C6823" w:rsidRPr="006C6823" w:rsidRDefault="006C6823" w:rsidP="006C6823">
                  <w:pPr>
                    <w:numPr>
                      <w:ilvl w:val="0"/>
                      <w:numId w:val="1"/>
                    </w:numPr>
                    <w:spacing w:after="100" w:afterAutospacing="1" w:line="240" w:lineRule="auto"/>
                    <w:rPr>
                      <w:rFonts w:eastAsia="Times New Roman" w:cs="Helvetica"/>
                      <w:color w:val="000000"/>
                      <w:sz w:val="17"/>
                      <w:szCs w:val="17"/>
                      <w:lang w:eastAsia="en-US"/>
                    </w:rPr>
                  </w:pPr>
                  <w:r w:rsidRPr="006C6823">
                    <w:rPr>
                      <w:rFonts w:eastAsia="Times New Roman" w:cs="Helvetica"/>
                      <w:color w:val="000000"/>
                      <w:sz w:val="17"/>
                      <w:szCs w:val="17"/>
                      <w:lang w:eastAsia="en-US"/>
                    </w:rPr>
                    <w:t>A rigorous standards-based curriculum and specialized programs are foundations for success.</w:t>
                  </w:r>
                </w:p>
                <w:p w:rsidR="006C6823" w:rsidRPr="006C6823" w:rsidRDefault="006C6823" w:rsidP="006C6823">
                  <w:pPr>
                    <w:numPr>
                      <w:ilvl w:val="0"/>
                      <w:numId w:val="1"/>
                    </w:numPr>
                    <w:spacing w:after="100" w:afterAutospacing="1" w:line="240" w:lineRule="auto"/>
                    <w:rPr>
                      <w:rFonts w:eastAsia="Times New Roman" w:cs="Helvetica"/>
                      <w:color w:val="000000"/>
                      <w:sz w:val="17"/>
                      <w:szCs w:val="17"/>
                      <w:lang w:eastAsia="en-US"/>
                    </w:rPr>
                  </w:pPr>
                  <w:r w:rsidRPr="006C6823">
                    <w:rPr>
                      <w:rFonts w:eastAsia="Times New Roman" w:cs="Helvetica"/>
                      <w:color w:val="000000"/>
                      <w:sz w:val="17"/>
                      <w:szCs w:val="17"/>
                      <w:lang w:eastAsia="en-US"/>
                    </w:rPr>
                    <w:t>Competence in technology is critical for equal access to communication, information, and enhancing instruction.</w:t>
                  </w:r>
                </w:p>
                <w:p w:rsidR="006C6823" w:rsidRPr="006C6823" w:rsidRDefault="006C6823" w:rsidP="006C6823">
                  <w:pPr>
                    <w:numPr>
                      <w:ilvl w:val="0"/>
                      <w:numId w:val="1"/>
                    </w:numPr>
                    <w:spacing w:after="100" w:afterAutospacing="1" w:line="240" w:lineRule="auto"/>
                    <w:rPr>
                      <w:rFonts w:eastAsia="Times New Roman" w:cs="Helvetica"/>
                      <w:color w:val="000000"/>
                      <w:sz w:val="17"/>
                      <w:szCs w:val="17"/>
                      <w:lang w:eastAsia="en-US"/>
                    </w:rPr>
                  </w:pPr>
                  <w:r w:rsidRPr="006C6823">
                    <w:rPr>
                      <w:rFonts w:eastAsia="Times New Roman" w:cs="Helvetica"/>
                      <w:color w:val="000000"/>
                      <w:sz w:val="17"/>
                      <w:szCs w:val="17"/>
                      <w:lang w:eastAsia="en-US"/>
                    </w:rPr>
                    <w:t>Al l learners achieve their maximum potential in a safe, respectful, and supportive environment that recognizes, values, and accommodates unique abilities and interests.</w:t>
                  </w:r>
                </w:p>
                <w:p w:rsidR="006C6823" w:rsidRPr="006C6823" w:rsidRDefault="006C6823" w:rsidP="006C6823">
                  <w:pPr>
                    <w:numPr>
                      <w:ilvl w:val="0"/>
                      <w:numId w:val="1"/>
                    </w:numPr>
                    <w:spacing w:after="100" w:afterAutospacing="1" w:line="240" w:lineRule="auto"/>
                    <w:rPr>
                      <w:rFonts w:eastAsia="Times New Roman" w:cs="Helvetica"/>
                      <w:color w:val="000000"/>
                      <w:sz w:val="17"/>
                      <w:szCs w:val="17"/>
                      <w:lang w:eastAsia="en-US"/>
                    </w:rPr>
                  </w:pPr>
                  <w:r w:rsidRPr="006C6823">
                    <w:rPr>
                      <w:rFonts w:eastAsia="Times New Roman" w:cs="Helvetica"/>
                      <w:color w:val="000000"/>
                      <w:sz w:val="17"/>
                      <w:szCs w:val="17"/>
                      <w:lang w:eastAsia="en-US"/>
                    </w:rPr>
                    <w:t>An effective educational system anticipates, plans, and acts in response to a changing world.</w:t>
                  </w:r>
                </w:p>
                <w:p w:rsidR="009A357B" w:rsidRPr="00FB2E65" w:rsidRDefault="009A357B"/>
              </w:tc>
            </w:tr>
            <w:tr w:rsidR="009A357B" w:rsidRPr="00FB2E65" w:rsidTr="00D44F1F">
              <w:trPr>
                <w:trHeight w:hRule="exact" w:val="7551"/>
              </w:trPr>
              <w:tc>
                <w:tcPr>
                  <w:tcW w:w="7200" w:type="dxa"/>
                </w:tcPr>
                <w:p w:rsidR="00BC68BB" w:rsidRDefault="00D44F1F" w:rsidP="00A13116">
                  <w:pPr>
                    <w:pStyle w:val="Heading1"/>
                  </w:pPr>
                  <w:r w:rsidRPr="00FB2E65">
                    <w:t>The Upcoming Week:</w:t>
                  </w:r>
                </w:p>
                <w:p w:rsidR="00A13116" w:rsidRPr="00A13116" w:rsidRDefault="00A13116" w:rsidP="00A13116"/>
                <w:p w:rsidR="00D44F1F" w:rsidRPr="00773869" w:rsidRDefault="00D44F1F" w:rsidP="00D44F1F">
                  <w:pPr>
                    <w:rPr>
                      <w:sz w:val="26"/>
                      <w:szCs w:val="26"/>
                    </w:rPr>
                  </w:pPr>
                  <w:r w:rsidRPr="00E50216">
                    <w:rPr>
                      <w:sz w:val="26"/>
                      <w:szCs w:val="26"/>
                    </w:rPr>
                    <w:t xml:space="preserve">Math- </w:t>
                  </w:r>
                  <w:r w:rsidR="00773869">
                    <w:rPr>
                      <w:sz w:val="26"/>
                      <w:szCs w:val="26"/>
                    </w:rPr>
                    <w:t xml:space="preserve">We will transition from base ten blocks to pictures with division this week. Math will be lots of fun! </w:t>
                  </w:r>
                  <w:r w:rsidR="00773869">
                    <w:rPr>
                      <w:b/>
                      <w:sz w:val="26"/>
                      <w:szCs w:val="26"/>
                    </w:rPr>
                    <w:t>Math Benchmark is Thursday!</w:t>
                  </w:r>
                </w:p>
                <w:p w:rsidR="00D44F1F" w:rsidRPr="00A82D8D" w:rsidRDefault="00D44F1F" w:rsidP="00D44F1F">
                  <w:pPr>
                    <w:rPr>
                      <w:sz w:val="26"/>
                      <w:szCs w:val="26"/>
                    </w:rPr>
                  </w:pPr>
                  <w:r w:rsidRPr="00E50216">
                    <w:rPr>
                      <w:sz w:val="26"/>
                      <w:szCs w:val="26"/>
                    </w:rPr>
                    <w:t xml:space="preserve">ELA- </w:t>
                  </w:r>
                  <w:r w:rsidR="00976F5C">
                    <w:rPr>
                      <w:sz w:val="26"/>
                      <w:szCs w:val="26"/>
                    </w:rPr>
                    <w:t xml:space="preserve">We </w:t>
                  </w:r>
                  <w:r w:rsidR="00A13116">
                    <w:rPr>
                      <w:sz w:val="26"/>
                      <w:szCs w:val="26"/>
                    </w:rPr>
                    <w:t xml:space="preserve">will </w:t>
                  </w:r>
                  <w:r w:rsidR="00773869">
                    <w:rPr>
                      <w:sz w:val="26"/>
                      <w:szCs w:val="26"/>
                    </w:rPr>
                    <w:t xml:space="preserve">use Scholastic News to increase our understanding of informational texts, and examine our expository writing from last week to work on improvements. </w:t>
                  </w:r>
                  <w:r w:rsidR="00773869" w:rsidRPr="00773869">
                    <w:rPr>
                      <w:b/>
                      <w:sz w:val="26"/>
                      <w:szCs w:val="26"/>
                    </w:rPr>
                    <w:t>ELA Benchmark is Wednesday!</w:t>
                  </w:r>
                </w:p>
                <w:p w:rsidR="00D44F1F" w:rsidRPr="00E50216" w:rsidRDefault="00D44F1F" w:rsidP="00D44F1F">
                  <w:pPr>
                    <w:rPr>
                      <w:sz w:val="26"/>
                      <w:szCs w:val="26"/>
                    </w:rPr>
                  </w:pPr>
                  <w:r w:rsidRPr="00E50216">
                    <w:rPr>
                      <w:sz w:val="26"/>
                      <w:szCs w:val="26"/>
                    </w:rPr>
                    <w:t xml:space="preserve">Science- </w:t>
                  </w:r>
                  <w:r w:rsidR="00976F5C">
                    <w:rPr>
                      <w:sz w:val="26"/>
                      <w:szCs w:val="26"/>
                    </w:rPr>
                    <w:t xml:space="preserve">We will </w:t>
                  </w:r>
                  <w:r w:rsidR="00773869">
                    <w:rPr>
                      <w:sz w:val="26"/>
                      <w:szCs w:val="26"/>
                    </w:rPr>
                    <w:t>begin a new unit on electricity this week! Science Benchmark is next Wednesday!</w:t>
                  </w:r>
                  <w:bookmarkStart w:id="0" w:name="_GoBack"/>
                  <w:bookmarkEnd w:id="0"/>
                </w:p>
                <w:p w:rsidR="00A82D8D" w:rsidRPr="00E34126" w:rsidRDefault="00D44F1F" w:rsidP="00A82D8D">
                  <w:pPr>
                    <w:rPr>
                      <w:rFonts w:ascii="Britannic Bold" w:hAnsi="Britannic Bold"/>
                      <w:b/>
                      <w:sz w:val="26"/>
                      <w:szCs w:val="26"/>
                    </w:rPr>
                  </w:pPr>
                  <w:r w:rsidRPr="00E50216">
                    <w:rPr>
                      <w:sz w:val="26"/>
                      <w:szCs w:val="26"/>
                    </w:rPr>
                    <w:t xml:space="preserve">Social Studies- </w:t>
                  </w:r>
                  <w:r w:rsidR="000B40F4">
                    <w:rPr>
                      <w:sz w:val="26"/>
                      <w:szCs w:val="26"/>
                    </w:rPr>
                    <w:t xml:space="preserve">We </w:t>
                  </w:r>
                  <w:r w:rsidR="00BC68BB">
                    <w:rPr>
                      <w:sz w:val="26"/>
                      <w:szCs w:val="26"/>
                    </w:rPr>
                    <w:t>will continue</w:t>
                  </w:r>
                  <w:r w:rsidR="00976F5C">
                    <w:rPr>
                      <w:sz w:val="26"/>
                      <w:szCs w:val="26"/>
                    </w:rPr>
                    <w:t xml:space="preserve"> our</w:t>
                  </w:r>
                  <w:r w:rsidR="00A82D8D">
                    <w:rPr>
                      <w:sz w:val="26"/>
                      <w:szCs w:val="26"/>
                    </w:rPr>
                    <w:t xml:space="preserve"> unit on the Revolut</w:t>
                  </w:r>
                  <w:r w:rsidR="00773869">
                    <w:rPr>
                      <w:sz w:val="26"/>
                      <w:szCs w:val="26"/>
                    </w:rPr>
                    <w:t>ionary War this week. There will be no quiz, but students should continue to review study guides from previous quizzes for the upcoming test. Social Studies Benchmark is next Tuesday!</w:t>
                  </w:r>
                </w:p>
                <w:p w:rsidR="00A82D8D" w:rsidRPr="000B40F4" w:rsidRDefault="00A82D8D" w:rsidP="00A82D8D"/>
              </w:tc>
            </w:tr>
            <w:tr w:rsidR="009A357B" w:rsidRPr="00FB2E65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9A357B" w:rsidRPr="00FB2E65" w:rsidRDefault="009A357B"/>
              </w:tc>
            </w:tr>
            <w:tr w:rsidR="00A82D8D" w:rsidRPr="00FB2E65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A82D8D" w:rsidRDefault="00A82D8D"/>
                <w:p w:rsidR="00A82D8D" w:rsidRPr="00FB2E65" w:rsidRDefault="00A82D8D"/>
              </w:tc>
            </w:tr>
          </w:tbl>
          <w:p w:rsidR="009A357B" w:rsidRPr="00FB2E65" w:rsidRDefault="009A357B"/>
        </w:tc>
        <w:tc>
          <w:tcPr>
            <w:tcW w:w="144" w:type="dxa"/>
          </w:tcPr>
          <w:p w:rsidR="009A357B" w:rsidRPr="00FB2E65" w:rsidRDefault="009A357B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2860"/>
              <w:gridCol w:w="596"/>
            </w:tblGrid>
            <w:tr w:rsidR="009A357B" w:rsidRPr="00FB2E65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642B26" w:rsidRPr="00A75D18" w:rsidRDefault="00773869" w:rsidP="00A82D8D">
                  <w:pPr>
                    <w:pStyle w:val="Heading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No </w:t>
                  </w:r>
                  <w:proofErr w:type="spellStart"/>
                  <w:r>
                    <w:rPr>
                      <w:sz w:val="22"/>
                      <w:szCs w:val="22"/>
                    </w:rPr>
                    <w:t>Wordly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Wise this week!</w:t>
                  </w:r>
                </w:p>
                <w:p w:rsidR="00A82D8D" w:rsidRPr="00A82D8D" w:rsidRDefault="00A82D8D" w:rsidP="00A82D8D">
                  <w:pPr>
                    <w:pStyle w:val="Line"/>
                  </w:pPr>
                </w:p>
                <w:p w:rsidR="00E50216" w:rsidRPr="003402FA" w:rsidRDefault="00773869" w:rsidP="00E50216">
                  <w:pPr>
                    <w:pStyle w:val="Heading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 School for students on Friday, January 16</w:t>
                  </w:r>
                </w:p>
                <w:p w:rsidR="00E50216" w:rsidRPr="003402FA" w:rsidRDefault="00E50216" w:rsidP="00E50216">
                  <w:pPr>
                    <w:pStyle w:val="Line"/>
                    <w:rPr>
                      <w:sz w:val="22"/>
                      <w:szCs w:val="22"/>
                    </w:rPr>
                  </w:pPr>
                </w:p>
                <w:p w:rsidR="003402FA" w:rsidRDefault="00773869" w:rsidP="00E50216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2"/>
                      <w:szCs w:val="22"/>
                    </w:rPr>
                    <w:t xml:space="preserve">Magnets Test is Tuesday! Use Review Guides 1 and 2 to study at home. </w:t>
                  </w:r>
                </w:p>
                <w:p w:rsidR="00A82D8D" w:rsidRDefault="00A82D8D" w:rsidP="00E50216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2"/>
                      <w:szCs w:val="22"/>
                    </w:rPr>
                  </w:pPr>
                </w:p>
                <w:p w:rsidR="00A82D8D" w:rsidRDefault="00A82D8D" w:rsidP="00E50216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2"/>
                      <w:szCs w:val="22"/>
                    </w:rPr>
                  </w:pPr>
                </w:p>
                <w:p w:rsidR="00A82D8D" w:rsidRDefault="00A82D8D" w:rsidP="00E50216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2"/>
                      <w:szCs w:val="22"/>
                    </w:rPr>
                  </w:pPr>
                </w:p>
                <w:p w:rsidR="00A82D8D" w:rsidRDefault="00A82D8D" w:rsidP="00E50216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2"/>
                      <w:szCs w:val="22"/>
                    </w:rPr>
                    <w:t>--</w:t>
                  </w:r>
                </w:p>
                <w:p w:rsidR="00A82D8D" w:rsidRDefault="00A82D8D" w:rsidP="00E50216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2"/>
                      <w:szCs w:val="22"/>
                    </w:rPr>
                  </w:pPr>
                </w:p>
                <w:p w:rsidR="00A82D8D" w:rsidRDefault="00773869" w:rsidP="00E50216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2"/>
                      <w:szCs w:val="22"/>
                    </w:rPr>
                    <w:t>Benchmark begins this week. Please get plenty of sleep and eat a good breakfast before coming to school! Please also make sure you are not absent!</w:t>
                  </w:r>
                </w:p>
                <w:p w:rsidR="00A82D8D" w:rsidRPr="003402FA" w:rsidRDefault="00A82D8D" w:rsidP="00E50216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2"/>
                      <w:szCs w:val="22"/>
                    </w:rPr>
                  </w:pPr>
                </w:p>
                <w:p w:rsidR="0077040A" w:rsidRPr="00E50216" w:rsidRDefault="0077040A" w:rsidP="00E5021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9A357B" w:rsidRPr="00FB2E65" w:rsidRDefault="00FD0BB1">
                  <w:r w:rsidRPr="00FB2E65">
                    <w:tab/>
                  </w:r>
                </w:p>
              </w:tc>
            </w:tr>
            <w:tr w:rsidR="009A357B" w:rsidRPr="00FB2E65">
              <w:trPr>
                <w:gridAfter w:val="1"/>
                <w:wAfter w:w="360" w:type="dxa"/>
                <w:trHeight w:hRule="exact" w:val="144"/>
              </w:trPr>
              <w:tc>
                <w:tcPr>
                  <w:tcW w:w="3446" w:type="dxa"/>
                </w:tcPr>
                <w:p w:rsidR="009A357B" w:rsidRPr="00FB2E65" w:rsidRDefault="009A357B"/>
              </w:tc>
            </w:tr>
            <w:tr w:rsidR="009A357B" w:rsidRPr="00FB2E65">
              <w:trPr>
                <w:gridAfter w:val="1"/>
                <w:wAfter w:w="360" w:type="dxa"/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9A357B" w:rsidRPr="00FB2E65" w:rsidRDefault="00D44F1F">
                  <w:pPr>
                    <w:pStyle w:val="Heading3"/>
                    <w:rPr>
                      <w:rFonts w:asciiTheme="minorHAnsi" w:hAnsiTheme="minorHAnsi"/>
                    </w:rPr>
                  </w:pPr>
                  <w:r w:rsidRPr="00FB2E65">
                    <w:rPr>
                      <w:rFonts w:asciiTheme="minorHAnsi" w:hAnsiTheme="minorHAnsi"/>
                    </w:rPr>
                    <w:t>Wright Elementary</w:t>
                  </w:r>
                </w:p>
                <w:p w:rsidR="009A357B" w:rsidRPr="00FB2E65" w:rsidRDefault="00773869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0D468BE8FD2C4D75AF0FC3881A71A446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D44F1F" w:rsidRPr="00FB2E65">
                        <w:t>1136 Wright School Road</w:t>
                      </w:r>
                      <w:r w:rsidR="00D44F1F" w:rsidRPr="00FB2E65">
                        <w:br/>
                        <w:t>Belton, SC 29627</w:t>
                      </w:r>
                    </w:sdtContent>
                  </w:sdt>
                </w:p>
                <w:p w:rsidR="009A357B" w:rsidRPr="00FB2E65" w:rsidRDefault="00D44F1F">
                  <w:pPr>
                    <w:pStyle w:val="ContactInfo"/>
                  </w:pPr>
                  <w:r w:rsidRPr="00FB2E65">
                    <w:t>http://wes.anderson2.org/</w:t>
                  </w:r>
                </w:p>
                <w:p w:rsidR="009A357B" w:rsidRPr="00FB2E65" w:rsidRDefault="00D44F1F" w:rsidP="00D44F1F">
                  <w:pPr>
                    <w:pStyle w:val="Date"/>
                    <w:rPr>
                      <w:sz w:val="18"/>
                      <w:szCs w:val="18"/>
                    </w:rPr>
                  </w:pPr>
                  <w:r w:rsidRPr="00FB2E65">
                    <w:rPr>
                      <w:sz w:val="18"/>
                      <w:szCs w:val="18"/>
                    </w:rPr>
                    <w:t>Miss Boggs</w:t>
                  </w:r>
                </w:p>
                <w:p w:rsidR="00D44F1F" w:rsidRPr="00FB2E65" w:rsidRDefault="00D44F1F" w:rsidP="00D44F1F">
                  <w:pPr>
                    <w:pStyle w:val="Date"/>
                  </w:pPr>
                  <w:r w:rsidRPr="00FB2E65">
                    <w:rPr>
                      <w:sz w:val="18"/>
                      <w:szCs w:val="18"/>
                    </w:rPr>
                    <w:t>lboggs@anderson2.k12.sc.us</w:t>
                  </w:r>
                </w:p>
              </w:tc>
            </w:tr>
          </w:tbl>
          <w:p w:rsidR="009A357B" w:rsidRPr="00FB2E65" w:rsidRDefault="009A357B"/>
        </w:tc>
      </w:tr>
    </w:tbl>
    <w:p w:rsidR="009A357B" w:rsidRPr="00FB2E65" w:rsidRDefault="009A357B">
      <w:pPr>
        <w:pStyle w:val="NoSpacing"/>
      </w:pPr>
    </w:p>
    <w:sectPr w:rsidR="009A357B" w:rsidRPr="00FB2E6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B7AFC"/>
    <w:multiLevelType w:val="multilevel"/>
    <w:tmpl w:val="E222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1F"/>
    <w:rsid w:val="000B40F4"/>
    <w:rsid w:val="000F5206"/>
    <w:rsid w:val="00182B77"/>
    <w:rsid w:val="001F15F4"/>
    <w:rsid w:val="002D2D73"/>
    <w:rsid w:val="003402FA"/>
    <w:rsid w:val="00540027"/>
    <w:rsid w:val="00571612"/>
    <w:rsid w:val="00642B26"/>
    <w:rsid w:val="00646521"/>
    <w:rsid w:val="006C6823"/>
    <w:rsid w:val="00730EB9"/>
    <w:rsid w:val="0077040A"/>
    <w:rsid w:val="00773869"/>
    <w:rsid w:val="007754BC"/>
    <w:rsid w:val="0085656E"/>
    <w:rsid w:val="008876A4"/>
    <w:rsid w:val="008C552B"/>
    <w:rsid w:val="00976F5C"/>
    <w:rsid w:val="009A357B"/>
    <w:rsid w:val="009B78CD"/>
    <w:rsid w:val="00A0062E"/>
    <w:rsid w:val="00A13116"/>
    <w:rsid w:val="00A238F1"/>
    <w:rsid w:val="00A75D18"/>
    <w:rsid w:val="00A82D8D"/>
    <w:rsid w:val="00AA7CE5"/>
    <w:rsid w:val="00AD3AA2"/>
    <w:rsid w:val="00BC68BB"/>
    <w:rsid w:val="00D44F1F"/>
    <w:rsid w:val="00D60898"/>
    <w:rsid w:val="00E34126"/>
    <w:rsid w:val="00E50216"/>
    <w:rsid w:val="00E547F7"/>
    <w:rsid w:val="00F309F3"/>
    <w:rsid w:val="00FB2E65"/>
    <w:rsid w:val="00FD0BB1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9BBC9-44FA-41C0-B2CE-626B5BA9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23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ggs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468BE8FD2C4D75AF0FC3881A71A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77FB6-3614-4507-87F6-A498F4BC91C7}"/>
      </w:docPartPr>
      <w:docPartBody>
        <w:p w:rsidR="00B536A8" w:rsidRDefault="00A9328B">
          <w:pPr>
            <w:pStyle w:val="0D468BE8FD2C4D75AF0FC3881A71A446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8B"/>
    <w:rsid w:val="00010A94"/>
    <w:rsid w:val="000858E0"/>
    <w:rsid w:val="0011073A"/>
    <w:rsid w:val="00184EA9"/>
    <w:rsid w:val="001D2383"/>
    <w:rsid w:val="0022613B"/>
    <w:rsid w:val="00382962"/>
    <w:rsid w:val="00522D51"/>
    <w:rsid w:val="005E41E9"/>
    <w:rsid w:val="00744DE7"/>
    <w:rsid w:val="0086002F"/>
    <w:rsid w:val="008A7A6C"/>
    <w:rsid w:val="009B2382"/>
    <w:rsid w:val="00A00330"/>
    <w:rsid w:val="00A32B95"/>
    <w:rsid w:val="00A9328B"/>
    <w:rsid w:val="00AA713D"/>
    <w:rsid w:val="00B536A8"/>
    <w:rsid w:val="00B751EB"/>
    <w:rsid w:val="00B82260"/>
    <w:rsid w:val="00C062B7"/>
    <w:rsid w:val="00DA3381"/>
    <w:rsid w:val="00EA465E"/>
    <w:rsid w:val="00F51A56"/>
    <w:rsid w:val="00F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841DBDEACE4BF89C069E993A5A2FEF">
    <w:name w:val="55841DBDEACE4BF89C069E993A5A2FEF"/>
  </w:style>
  <w:style w:type="paragraph" w:customStyle="1" w:styleId="75C8EA4B6D10433EA66B39D803A8A2D5">
    <w:name w:val="75C8EA4B6D10433EA66B39D803A8A2D5"/>
  </w:style>
  <w:style w:type="paragraph" w:customStyle="1" w:styleId="9460F6045EFE4A0B80446ECCEDA19D88">
    <w:name w:val="9460F6045EFE4A0B80446ECCEDA19D88"/>
  </w:style>
  <w:style w:type="paragraph" w:customStyle="1" w:styleId="418C95AA077A49E3B717F2E0549E1C6D">
    <w:name w:val="418C95AA077A49E3B717F2E0549E1C6D"/>
  </w:style>
  <w:style w:type="paragraph" w:customStyle="1" w:styleId="B184319CB422448AB4FD68506FC0E95D">
    <w:name w:val="B184319CB422448AB4FD68506FC0E95D"/>
  </w:style>
  <w:style w:type="paragraph" w:customStyle="1" w:styleId="9EC0FC1CCFCF415089433AFCA340D696">
    <w:name w:val="9EC0FC1CCFCF415089433AFCA340D696"/>
  </w:style>
  <w:style w:type="paragraph" w:customStyle="1" w:styleId="03E82B619DA1468A87B058359EB454D1">
    <w:name w:val="03E82B619DA1468A87B058359EB454D1"/>
  </w:style>
  <w:style w:type="paragraph" w:customStyle="1" w:styleId="515B98C5AC734983A6330C1BA7195769">
    <w:name w:val="515B98C5AC734983A6330C1BA7195769"/>
  </w:style>
  <w:style w:type="paragraph" w:customStyle="1" w:styleId="DF17A4D305CD4E749A02C750DC8E7A5C">
    <w:name w:val="DF17A4D305CD4E749A02C750DC8E7A5C"/>
  </w:style>
  <w:style w:type="paragraph" w:customStyle="1" w:styleId="567010AE221448109F0FBE01CBD3A192">
    <w:name w:val="567010AE221448109F0FBE01CBD3A192"/>
  </w:style>
  <w:style w:type="paragraph" w:customStyle="1" w:styleId="0D468BE8FD2C4D75AF0FC3881A71A446">
    <w:name w:val="0D468BE8FD2C4D75AF0FC3881A71A446"/>
  </w:style>
  <w:style w:type="paragraph" w:customStyle="1" w:styleId="CEE61CDAD5664500B0CFF60CB09FF092">
    <w:name w:val="CEE61CDAD5664500B0CFF60CB09FF092"/>
  </w:style>
  <w:style w:type="paragraph" w:customStyle="1" w:styleId="07739511FD97464889BAEFD97AAC48F1">
    <w:name w:val="07739511FD97464889BAEFD97AAC48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Boggs</dc:creator>
  <cp:keywords/>
  <dc:description/>
  <cp:lastModifiedBy>Lauren Boggs</cp:lastModifiedBy>
  <cp:revision>2</cp:revision>
  <cp:lastPrinted>2014-10-20T11:37:00Z</cp:lastPrinted>
  <dcterms:created xsi:type="dcterms:W3CDTF">2015-01-10T21:14:00Z</dcterms:created>
  <dcterms:modified xsi:type="dcterms:W3CDTF">2015-01-10T21:14:00Z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